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2CDFBDD6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12EFEF0" w:rsidR="0EC1E2F0">
        <w:rPr>
          <w:rFonts w:ascii="Calibri" w:hAnsi="Calibri" w:eastAsia="Calibri" w:cs="Calibri"/>
          <w:sz w:val="22"/>
          <w:szCs w:val="22"/>
        </w:rPr>
        <w:t>[</w:t>
      </w:r>
      <w:r w:rsidRPr="112EFEF0" w:rsidR="48E33A93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12EFEF0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12EFEF0" w:rsidR="48E33A93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12EFEF0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12EFEF0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12EFEF0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12EFEF0" w:rsidR="0EC1E2F0">
        <w:rPr>
          <w:rFonts w:ascii="Calibri" w:hAnsi="Calibri" w:eastAsia="Calibri" w:cs="Calibri"/>
          <w:sz w:val="22"/>
          <w:szCs w:val="22"/>
        </w:rPr>
        <w:t>] establish[</w:t>
      </w:r>
      <w:r w:rsidRPr="112EFEF0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12EFEF0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12EFEF0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12EFEF0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12EFEF0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12EFEF0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12EFEF0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12EFEF0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12EFEF0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12EFEF0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12EFEF0" w:rsidR="0EC1E2F0">
        <w:rPr>
          <w:rFonts w:ascii="Calibri" w:hAnsi="Calibri" w:eastAsia="Calibri" w:cs="Calibri"/>
          <w:sz w:val="22"/>
          <w:szCs w:val="22"/>
        </w:rPr>
        <w:t>regarding</w:t>
      </w:r>
      <w:r w:rsidRPr="112EFEF0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3174A4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12EFEF0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12EFEF0" w:rsidR="48E33A93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12EFEF0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12EFEF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12EFEF0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72A20E0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12EFEF0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12EFEF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12EFEF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12EFEF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12EFEF0" w:rsidR="48E33A93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1B961A9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12EFEF0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12EFEF0" w:rsidR="48E33A93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12EFEF0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12EFEF0" w:rsidR="2F1569ED">
        <w:rPr>
          <w:rFonts w:ascii="Calibri" w:hAnsi="Calibri" w:eastAsia="Calibri" w:cs="Calibri"/>
          <w:sz w:val="22"/>
          <w:szCs w:val="22"/>
          <w:u w:val="none"/>
        </w:rPr>
        <w:t>New York</w:t>
      </w:r>
      <w:r w:rsidRPr="112EFEF0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12EFEF0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12EFEF0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47150551">
      <w:pPr>
        <w:pStyle w:val="Normal"/>
        <w:spacing w:line="276" w:lineRule="auto"/>
        <w:jc w:val="both"/>
      </w:pP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12EFEF0" w:rsidR="48E33A9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2C201C5A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12EFEF0" w:rsidR="48E33A9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12EFEF0" w:rsidR="48E33A9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7B09B67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12EFEF0" w:rsidR="48E33A9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2BF38EFE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12EFEF0" w:rsidR="48E33A9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5BDAF8D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12EFEF0" w:rsidR="48E33A9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1B0310F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2CBC7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642CBC7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642CBC7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642CBC74" w:rsidR="2F1569ED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York</w:t>
      </w:r>
      <w:r w:rsidRPr="642CBC7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642CBC7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42CBC7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6FEE73A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12EFEF0" w:rsidR="48E33A9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76A63BF1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12EFEF0" w:rsidR="48E33A9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12EFEF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12EFEF0" w:rsidRDefault="0EC1E2F0" w14:paraId="069457EC" w14:textId="6503DEAE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EFEF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12EFEF0" w:rsidR="48E33A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12EFEF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12EFEF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12EFEF0" w:rsidRDefault="0EC1E2F0" w14:paraId="6A73E3D8" w14:textId="76FFFB4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2EFEF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12EFEF0" w:rsidR="48E33A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12EFEF0" w:rsidR="48E33A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12EFEF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12EFEF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12EFEF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12EFEF0"/>
    <w:rsid w:val="12EE5088"/>
    <w:rsid w:val="1A68FA11"/>
    <w:rsid w:val="1F7A1F06"/>
    <w:rsid w:val="25AF36D0"/>
    <w:rsid w:val="2E354B4A"/>
    <w:rsid w:val="2F1569ED"/>
    <w:rsid w:val="387DFCF4"/>
    <w:rsid w:val="3D2AA764"/>
    <w:rsid w:val="45C842D5"/>
    <w:rsid w:val="48B9C6F0"/>
    <w:rsid w:val="48E33A93"/>
    <w:rsid w:val="4DA4D249"/>
    <w:rsid w:val="4F85A74E"/>
    <w:rsid w:val="5E8F12A7"/>
    <w:rsid w:val="5EE50337"/>
    <w:rsid w:val="605A6430"/>
    <w:rsid w:val="642CBC74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2024-12-26T19:45:18.7100365Z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