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24373A1F">
      <w:pPr>
        <w:pStyle w:val="Normal"/>
        <w:spacing w:line="276" w:lineRule="auto"/>
        <w:jc w:val="both"/>
        <w:rPr>
          <w:rFonts w:ascii="Calibri" w:hAnsi="Calibri" w:eastAsia="Calibri" w:cs="Calibri"/>
          <w:b w:val="0"/>
          <w:bCs w:val="0"/>
          <w:sz w:val="22"/>
          <w:szCs w:val="22"/>
        </w:rPr>
      </w:pPr>
      <w:r w:rsidRPr="6431B358" w:rsidR="03BB7F7A">
        <w:rPr>
          <w:rFonts w:ascii="Calibri" w:hAnsi="Calibri" w:eastAsia="Calibri" w:cs="Calibri"/>
          <w:b w:val="0"/>
          <w:bCs w:val="0"/>
          <w:sz w:val="22"/>
          <w:szCs w:val="22"/>
        </w:rPr>
        <w:t>[</w:t>
      </w:r>
      <w:r w:rsidRPr="6431B358" w:rsidR="03BB7F7A">
        <w:rPr>
          <w:rFonts w:ascii="Calibri" w:hAnsi="Calibri" w:eastAsia="Calibri" w:cs="Calibri"/>
          <w:b w:val="0"/>
          <w:bCs w:val="0"/>
          <w:sz w:val="22"/>
          <w:szCs w:val="22"/>
          <w:highlight w:val="yellow"/>
        </w:rPr>
        <w:t>EMPLOYER'S NAME</w:t>
      </w:r>
      <w:r w:rsidRPr="6431B358" w:rsidR="03BB7F7A">
        <w:rPr>
          <w:rFonts w:ascii="Calibri" w:hAnsi="Calibri" w:eastAsia="Calibri" w:cs="Calibri"/>
          <w:b w:val="0"/>
          <w:bCs w:val="0"/>
          <w:sz w:val="22"/>
          <w:szCs w:val="22"/>
        </w:rPr>
        <w:t xml:space="preserve">] ensures compliance with all applicable </w:t>
      </w:r>
      <w:r w:rsidRPr="6431B358" w:rsidR="1D85BB51">
        <w:rPr>
          <w:rFonts w:ascii="Calibri" w:hAnsi="Calibri" w:eastAsia="Calibri" w:cs="Calibri"/>
          <w:b w:val="0"/>
          <w:bCs w:val="0"/>
          <w:sz w:val="22"/>
          <w:szCs w:val="22"/>
        </w:rPr>
        <w:t>Wyoming</w:t>
      </w:r>
      <w:r w:rsidRPr="6431B358"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769131BF"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769131BF" w:rsidR="3D8CBBBA">
        <w:rPr>
          <w:rFonts w:ascii="Calibri" w:hAnsi="Calibri" w:eastAsia="Calibri" w:cs="Calibri"/>
          <w:b w:val="0"/>
          <w:bCs w:val="0"/>
          <w:sz w:val="22"/>
          <w:szCs w:val="22"/>
          <w:u w:val="none"/>
        </w:rPr>
        <w:t>additional</w:t>
      </w:r>
      <w:r w:rsidRPr="769131BF" w:rsidR="3D8CBBBA">
        <w:rPr>
          <w:rFonts w:ascii="Calibri" w:hAnsi="Calibri" w:eastAsia="Calibri" w:cs="Calibri"/>
          <w:b w:val="0"/>
          <w:bCs w:val="0"/>
          <w:sz w:val="22"/>
          <w:szCs w:val="22"/>
          <w:u w:val="none"/>
        </w:rPr>
        <w:t xml:space="preserve"> verification methods.</w:t>
      </w:r>
    </w:p>
    <w:p w:rsidR="3D8CBBBA" w:rsidP="769131BF"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769131BF"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769131BF" w:rsidR="3D8CBBBA">
        <w:rPr>
          <w:rFonts w:ascii="Calibri" w:hAnsi="Calibri" w:eastAsia="Calibri" w:cs="Calibri"/>
          <w:b w:val="0"/>
          <w:bCs w:val="0"/>
          <w:sz w:val="22"/>
          <w:szCs w:val="22"/>
          <w:u w:val="none"/>
        </w:rPr>
        <w:t>identify</w:t>
      </w:r>
      <w:r w:rsidRPr="769131BF" w:rsidR="3D8CBBBA">
        <w:rPr>
          <w:rFonts w:ascii="Calibri" w:hAnsi="Calibri" w:eastAsia="Calibri" w:cs="Calibri"/>
          <w:b w:val="0"/>
          <w:bCs w:val="0"/>
          <w:sz w:val="22"/>
          <w:szCs w:val="22"/>
          <w:u w:val="none"/>
        </w:rPr>
        <w:t xml:space="preserve"> risks associated with forced labor.</w:t>
      </w:r>
    </w:p>
    <w:p w:rsidR="3D8CBBBA" w:rsidP="769131BF"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769131BF"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769131BF"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769131BF"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769131BF"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769131BF"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769131BF" w:rsidR="3D8CBBBA">
        <w:rPr>
          <w:rFonts w:ascii="Calibri" w:hAnsi="Calibri" w:eastAsia="Calibri" w:cs="Calibri"/>
          <w:b w:val="0"/>
          <w:bCs w:val="0"/>
          <w:sz w:val="22"/>
          <w:szCs w:val="22"/>
          <w:u w:val="none"/>
        </w:rPr>
        <w:t>terminate</w:t>
      </w:r>
      <w:r w:rsidRPr="769131BF"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0766A196" w:rsidR="551768FB">
        <w:rPr>
          <w:rFonts w:ascii="Calibri" w:hAnsi="Calibri" w:eastAsia="Calibri" w:cs="Calibri"/>
          <w:b w:val="0"/>
          <w:bCs w:val="0"/>
          <w:sz w:val="22"/>
          <w:szCs w:val="22"/>
          <w:u w:val="none"/>
        </w:rPr>
        <w:t>The [</w:t>
      </w:r>
      <w:r w:rsidRPr="0766A196" w:rsidR="551768FB">
        <w:rPr>
          <w:rFonts w:ascii="Calibri" w:hAnsi="Calibri" w:eastAsia="Calibri" w:cs="Calibri"/>
          <w:b w:val="0"/>
          <w:bCs w:val="0"/>
          <w:sz w:val="22"/>
          <w:szCs w:val="22"/>
          <w:highlight w:val="yellow"/>
          <w:u w:val="none"/>
        </w:rPr>
        <w:t>DEPARTMENT NAME</w:t>
      </w:r>
      <w:r w:rsidRPr="0766A196" w:rsidR="551768FB">
        <w:rPr>
          <w:rFonts w:ascii="Calibri" w:hAnsi="Calibri" w:eastAsia="Calibri" w:cs="Calibri"/>
          <w:b w:val="0"/>
          <w:bCs w:val="0"/>
          <w:sz w:val="22"/>
          <w:szCs w:val="22"/>
          <w:u w:val="none"/>
        </w:rPr>
        <w:t xml:space="preserve">] </w:t>
      </w:r>
      <w:r w:rsidRPr="0766A196" w:rsidR="551768FB">
        <w:rPr>
          <w:rFonts w:ascii="Calibri" w:hAnsi="Calibri" w:eastAsia="Calibri" w:cs="Calibri"/>
          <w:b w:val="0"/>
          <w:bCs w:val="0"/>
          <w:sz w:val="22"/>
          <w:szCs w:val="22"/>
          <w:u w:val="none"/>
        </w:rPr>
        <w:t>is responsible for</w:t>
      </w:r>
      <w:r w:rsidRPr="0766A196" w:rsidR="551768FB">
        <w:rPr>
          <w:rFonts w:ascii="Calibri" w:hAnsi="Calibri" w:eastAsia="Calibri" w:cs="Calibri"/>
          <w:b w:val="0"/>
          <w:bCs w:val="0"/>
          <w:sz w:val="22"/>
          <w:szCs w:val="22"/>
          <w:u w:val="none"/>
        </w:rPr>
        <w:t xml:space="preserve"> coordinating and conducting this training.</w:t>
      </w:r>
    </w:p>
    <w:p w:rsidR="738AB38E" w:rsidP="0766A196" w:rsidRDefault="738AB38E" w14:paraId="64CB7CFC" w14:textId="5C91FE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6A196" w:rsidR="738AB38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8AB38E" w:rsidP="0766A196" w:rsidRDefault="738AB38E" w14:paraId="48616585" w14:textId="450930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8AB38E" w:rsidP="0766A196" w:rsidRDefault="738AB38E" w14:paraId="15DCAE3A" w14:textId="52F072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8AB38E" w:rsidP="0766A196" w:rsidRDefault="738AB38E" w14:paraId="3374126A" w14:textId="736991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8AB38E" w:rsidP="0766A196" w:rsidRDefault="738AB38E" w14:paraId="09FB97C6" w14:textId="730DC4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8AB38E" w:rsidP="0766A196" w:rsidRDefault="738AB38E" w14:paraId="235A0832" w14:textId="0FA6EB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8AB38E" w:rsidP="0766A196" w:rsidRDefault="738AB38E" w14:paraId="05A2E4B0" w14:textId="0FB905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8AB38E" w:rsidP="0766A196" w:rsidRDefault="738AB38E" w14:paraId="19786AF3" w14:textId="0B94D3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8AB38E" w:rsidP="0766A196" w:rsidRDefault="738AB38E" w14:paraId="323F34FF" w14:textId="3C2333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6A196" w:rsidR="738AB3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766A196" w:rsidP="0766A196" w:rsidRDefault="0766A196" w14:paraId="2630A674" w14:textId="4E053E2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71DB51E" w:rsidP="071DB51E" w:rsidRDefault="071DB51E" w14:paraId="1557F085" w14:textId="0028A26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71DB51E"/>
    <w:rsid w:val="0766A196"/>
    <w:rsid w:val="0BCC10C4"/>
    <w:rsid w:val="0DC16886"/>
    <w:rsid w:val="15BD895B"/>
    <w:rsid w:val="1834B736"/>
    <w:rsid w:val="186F2892"/>
    <w:rsid w:val="1D85BB51"/>
    <w:rsid w:val="1ED7D82B"/>
    <w:rsid w:val="27619102"/>
    <w:rsid w:val="343FA67C"/>
    <w:rsid w:val="3D8CBBBA"/>
    <w:rsid w:val="4B1708D4"/>
    <w:rsid w:val="551768FB"/>
    <w:rsid w:val="5D869A13"/>
    <w:rsid w:val="6431B358"/>
    <w:rsid w:val="665A1786"/>
    <w:rsid w:val="67591EF9"/>
    <w:rsid w:val="6A7FE7A7"/>
    <w:rsid w:val="6AA07A86"/>
    <w:rsid w:val="72F3961E"/>
    <w:rsid w:val="738AB38E"/>
    <w:rsid w:val="73BBAA47"/>
    <w:rsid w:val="769131BF"/>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2025-01-02T17:34:53.8862444Z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