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6B1DC6D1">
      <w:pPr>
        <w:pStyle w:val="ListParagraph"/>
        <w:spacing w:line="276" w:lineRule="auto"/>
        <w:ind w:left="630" w:hanging="0"/>
        <w:jc w:val="both"/>
        <w:rPr>
          <w:rFonts w:ascii="Calibri" w:hAnsi="Calibri" w:eastAsia="Calibri" w:cs="Calibri"/>
          <w:b w:val="0"/>
          <w:bCs w:val="0"/>
          <w:sz w:val="22"/>
          <w:szCs w:val="22"/>
        </w:rPr>
      </w:pPr>
      <w:r w:rsidRPr="5EAD06F2" w:rsidR="02F54E5C">
        <w:rPr>
          <w:rFonts w:ascii="Calibri" w:hAnsi="Calibri" w:eastAsia="Calibri" w:cs="Calibri"/>
          <w:b w:val="0"/>
          <w:bCs w:val="0"/>
          <w:sz w:val="22"/>
          <w:szCs w:val="22"/>
        </w:rPr>
        <w:t xml:space="preserve">This Agreement shall be governed by and interpreted </w:t>
      </w:r>
      <w:r w:rsidRPr="5EAD06F2" w:rsidR="02F54E5C">
        <w:rPr>
          <w:rFonts w:ascii="Calibri" w:hAnsi="Calibri" w:eastAsia="Calibri" w:cs="Calibri"/>
          <w:b w:val="0"/>
          <w:bCs w:val="0"/>
          <w:sz w:val="22"/>
          <w:szCs w:val="22"/>
        </w:rPr>
        <w:t>in accordance with</w:t>
      </w:r>
      <w:r w:rsidRPr="5EAD06F2" w:rsidR="02F54E5C">
        <w:rPr>
          <w:rFonts w:ascii="Calibri" w:hAnsi="Calibri" w:eastAsia="Calibri" w:cs="Calibri"/>
          <w:b w:val="0"/>
          <w:bCs w:val="0"/>
          <w:sz w:val="22"/>
          <w:szCs w:val="22"/>
        </w:rPr>
        <w:t xml:space="preserve"> the internal laws of the State of </w:t>
      </w:r>
      <w:r w:rsidRPr="5EAD06F2" w:rsidR="296F8723">
        <w:rPr>
          <w:rFonts w:ascii="Calibri" w:hAnsi="Calibri" w:eastAsia="Calibri" w:cs="Calibri"/>
          <w:b w:val="0"/>
          <w:bCs w:val="0"/>
          <w:sz w:val="22"/>
          <w:szCs w:val="22"/>
        </w:rPr>
        <w:t>Maryland</w:t>
      </w:r>
      <w:r w:rsidRPr="5EAD06F2" w:rsidR="02F54E5C">
        <w:rPr>
          <w:rFonts w:ascii="Calibri" w:hAnsi="Calibri" w:eastAsia="Calibri" w:cs="Calibri"/>
          <w:b w:val="0"/>
          <w:bCs w:val="0"/>
          <w:sz w:val="22"/>
          <w:szCs w:val="22"/>
        </w:rPr>
        <w:t xml:space="preserve">, without regard to any principles of conflict of laws. Any legal action, suit, or </w:t>
      </w:r>
      <w:r w:rsidRPr="5EAD06F2" w:rsidR="02F54E5C">
        <w:rPr>
          <w:rFonts w:ascii="Calibri" w:hAnsi="Calibri" w:eastAsia="Calibri" w:cs="Calibri"/>
          <w:b w:val="0"/>
          <w:bCs w:val="0"/>
          <w:sz w:val="22"/>
          <w:szCs w:val="22"/>
        </w:rPr>
        <w:t>proceeding</w:t>
      </w:r>
      <w:r w:rsidRPr="5EAD06F2" w:rsidR="02F54E5C">
        <w:rPr>
          <w:rFonts w:ascii="Calibri" w:hAnsi="Calibri" w:eastAsia="Calibri" w:cs="Calibri"/>
          <w:b w:val="0"/>
          <w:bCs w:val="0"/>
          <w:sz w:val="22"/>
          <w:szCs w:val="22"/>
        </w:rPr>
        <w:t xml:space="preserve"> arising out of or related to this Agreement shall be brought exclusively in the courts of the State of </w:t>
      </w:r>
      <w:r w:rsidRPr="5EAD06F2" w:rsidR="296F8723">
        <w:rPr>
          <w:rFonts w:ascii="Calibri" w:hAnsi="Calibri" w:eastAsia="Calibri" w:cs="Calibri"/>
          <w:b w:val="0"/>
          <w:bCs w:val="0"/>
          <w:sz w:val="22"/>
          <w:szCs w:val="22"/>
        </w:rPr>
        <w:t>Maryland</w:t>
      </w:r>
      <w:r w:rsidRPr="5EAD06F2" w:rsidR="02F54E5C">
        <w:rPr>
          <w:rFonts w:ascii="Calibri" w:hAnsi="Calibri" w:eastAsia="Calibri" w:cs="Calibri"/>
          <w:b w:val="0"/>
          <w:bCs w:val="0"/>
          <w:sz w:val="22"/>
          <w:szCs w:val="22"/>
        </w:rPr>
        <w:t xml:space="preserve">, and each Party irrevocably consents to the exclusive </w:t>
      </w:r>
      <w:r w:rsidRPr="5EAD06F2" w:rsidR="02F54E5C">
        <w:rPr>
          <w:rFonts w:ascii="Calibri" w:hAnsi="Calibri" w:eastAsia="Calibri" w:cs="Calibri"/>
          <w:b w:val="0"/>
          <w:bCs w:val="0"/>
          <w:sz w:val="22"/>
          <w:szCs w:val="22"/>
        </w:rPr>
        <w:t>jurisdiction</w:t>
      </w:r>
      <w:r w:rsidRPr="5EAD06F2" w:rsidR="02F54E5C">
        <w:rPr>
          <w:rFonts w:ascii="Calibri" w:hAnsi="Calibri" w:eastAsia="Calibri" w:cs="Calibri"/>
          <w:b w:val="0"/>
          <w:bCs w:val="0"/>
          <w:sz w:val="22"/>
          <w:szCs w:val="22"/>
        </w:rPr>
        <w:t xml:space="preserve"> of such courts. The Parties waive any objections related to improper venue or the doctrine of forum non </w:t>
      </w:r>
      <w:r w:rsidRPr="5EAD06F2" w:rsidR="02F54E5C">
        <w:rPr>
          <w:rFonts w:ascii="Calibri" w:hAnsi="Calibri" w:eastAsia="Calibri" w:cs="Calibri"/>
          <w:b w:val="0"/>
          <w:bCs w:val="0"/>
          <w:sz w:val="22"/>
          <w:szCs w:val="22"/>
        </w:rPr>
        <w:t>conveniens</w:t>
      </w:r>
      <w:r w:rsidRPr="5EAD06F2"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485B792">
      <w:pPr>
        <w:pStyle w:val="ListParagraph"/>
        <w:numPr>
          <w:ilvl w:val="1"/>
          <w:numId w:val="1"/>
        </w:numPr>
        <w:spacing w:line="276" w:lineRule="auto"/>
        <w:ind w:left="630" w:hanging="720"/>
        <w:jc w:val="both"/>
        <w:rPr>
          <w:rFonts w:ascii="Calibri" w:hAnsi="Calibri" w:eastAsia="Calibri" w:cs="Calibri"/>
          <w:b w:val="0"/>
          <w:bCs w:val="0"/>
          <w:sz w:val="22"/>
          <w:szCs w:val="22"/>
        </w:rPr>
      </w:pPr>
      <w:r w:rsidRPr="5EAD06F2"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EAD06F2" w:rsidR="02F54E5C">
        <w:rPr>
          <w:rFonts w:ascii="Calibri" w:hAnsi="Calibri" w:eastAsia="Calibri" w:cs="Calibri"/>
          <w:b w:val="0"/>
          <w:bCs w:val="0"/>
          <w:sz w:val="22"/>
          <w:szCs w:val="22"/>
        </w:rPr>
        <w:t>i</w:t>
      </w:r>
      <w:r w:rsidRPr="5EAD06F2"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EAD06F2" w:rsidR="02F54E5C">
        <w:rPr>
          <w:rFonts w:ascii="Calibri" w:hAnsi="Calibri" w:eastAsia="Calibri" w:cs="Calibri"/>
          <w:b w:val="1"/>
          <w:bCs w:val="1"/>
          <w:sz w:val="22"/>
          <w:szCs w:val="22"/>
        </w:rPr>
        <w:t>Business Day</w:t>
      </w:r>
      <w:r w:rsidRPr="5EAD06F2" w:rsidR="02F54E5C">
        <w:rPr>
          <w:rFonts w:ascii="Calibri" w:hAnsi="Calibri" w:eastAsia="Calibri" w:cs="Calibri"/>
          <w:b w:val="0"/>
          <w:bCs w:val="0"/>
          <w:sz w:val="22"/>
          <w:szCs w:val="22"/>
        </w:rPr>
        <w:t xml:space="preserve">” means a day that is not a Saturday, </w:t>
      </w:r>
      <w:r w:rsidRPr="5EAD06F2" w:rsidR="02F54E5C">
        <w:rPr>
          <w:rFonts w:ascii="Calibri" w:hAnsi="Calibri" w:eastAsia="Calibri" w:cs="Calibri"/>
          <w:b w:val="0"/>
          <w:bCs w:val="0"/>
          <w:sz w:val="22"/>
          <w:szCs w:val="22"/>
        </w:rPr>
        <w:t>Sunday</w:t>
      </w:r>
      <w:r w:rsidRPr="5EAD06F2" w:rsidR="02F54E5C">
        <w:rPr>
          <w:rFonts w:ascii="Calibri" w:hAnsi="Calibri" w:eastAsia="Calibri" w:cs="Calibri"/>
          <w:b w:val="0"/>
          <w:bCs w:val="0"/>
          <w:sz w:val="22"/>
          <w:szCs w:val="22"/>
        </w:rPr>
        <w:t xml:space="preserve"> or public holiday in </w:t>
      </w:r>
      <w:r w:rsidRPr="5EAD06F2" w:rsidR="296F8723">
        <w:rPr>
          <w:rFonts w:ascii="Calibri" w:hAnsi="Calibri" w:eastAsia="Calibri" w:cs="Calibri"/>
          <w:b w:val="0"/>
          <w:bCs w:val="0"/>
          <w:sz w:val="22"/>
          <w:szCs w:val="22"/>
        </w:rPr>
        <w:t>Maryland</w:t>
      </w:r>
      <w:r w:rsidRPr="5EAD06F2"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6F8723"/>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EAD06F2"/>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2025-02-20T17:29:02.7818917Z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