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7DC75FC1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F0B449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58F0B449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58F0B449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58F0B449" w:rsidR="454615B8">
        <w:rPr>
          <w:rFonts w:ascii="Calibri" w:hAnsi="Calibri" w:eastAsia="Calibri" w:cs="Calibri"/>
          <w:b w:val="0"/>
          <w:bCs w:val="0"/>
          <w:sz w:val="22"/>
          <w:szCs w:val="22"/>
        </w:rPr>
        <w:t>Florida</w:t>
      </w:r>
      <w:r w:rsidRPr="58F0B449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58F0B449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58F0B449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58F0B449" w:rsidR="454615B8">
        <w:rPr>
          <w:rFonts w:ascii="Calibri" w:hAnsi="Calibri" w:eastAsia="Calibri" w:cs="Calibri"/>
          <w:b w:val="0"/>
          <w:bCs w:val="0"/>
          <w:sz w:val="22"/>
          <w:szCs w:val="22"/>
        </w:rPr>
        <w:t>Florida</w:t>
      </w:r>
      <w:r w:rsidRPr="58F0B449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58F0B449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58F0B449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58F0B449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58F0B449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54615B8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8F0B449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2025-02-04T19:54:32.1793362Z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