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35169C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0B358DA5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FE873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5B16B7A8">
        <w:rPr>
          <w:rFonts w:ascii="Calibri" w:hAnsi="Calibri" w:eastAsia="Calibri" w:cs="Calibri"/>
          <w:b w:val="0"/>
          <w:bCs w:val="0"/>
          <w:sz w:val="22"/>
          <w:szCs w:val="22"/>
        </w:rPr>
        <w:t>This policy complies with all applicable health and safety laws and regulations in the state of Alabama.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DEFF7D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618A963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7AD7788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33CEFB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92ED55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865FC1E">
      <w:pPr>
        <w:pStyle w:val="Normal"/>
        <w:spacing w:line="276" w:lineRule="auto"/>
        <w:jc w:val="both"/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056BE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B358DA5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258B8A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3186AC0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0B358DA5" w:rsidR="3E81BE1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B358DA5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B358DA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0B358DA5" w:rsidRDefault="66539C9F" w14:paraId="11335CED" w14:textId="484EE8B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B358DA5" w:rsidR="3E81B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0B358DA5" w:rsidRDefault="66539C9F" w14:paraId="12AE21F3" w14:textId="4B96111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B358DA5" w:rsidR="3E81B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B358DA5" w:rsidR="3E81B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B358DA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B358DA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3E81BE10"/>
    <w:rsid w:val="40396175"/>
    <w:rsid w:val="40E22B9C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2025-01-03T16:17:12.9427527Z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