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469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469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FINANCIAL-STATEMENT AUDIT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8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FINANCIAL-STATEMENT AUDIT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</w:t>
      </w:r>
      <w:r>
        <w:rPr>
          <w:rFonts w:ascii="Calibri" w:hAnsi="Calibri" w:eastAsia="Calibri" w:cs="Calibri"/>
          <w:color w:val="000000" w:themeColor="text1"/>
        </w:rPr>
        <w:t xml:space="preserve">support your organization with financial statement audit proposal. We deliver efficient, scalable, and secure solutions tailored to our clients’ needs.</w:t>
        <w:br/>
        <w:br/>
        <w:t xml:space="preserve">This proposal outlines our approach to delivering financial statement audit proposal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Provide an objective and independent financial audit</w:t>
        <w:br/>
        <w:t xml:space="preserve">- Ensure compliance with accounting standards</w:t>
        <w:br/>
        <w:t xml:space="preserve">- Enhance stakeholder confidence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Risk assessment and audit planning</w:t>
        <w:br/>
        <w:t xml:space="preserve">- Testing of controls and substantive procedures</w:t>
        <w:br/>
        <w:t xml:space="preserve">- Final audit opinion and management letter</w:t>
        <w:br/>
        <w:t xml:space="preserve">- Coordination with audit committee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Engagement kickoff and documentation review</w:t>
        <w:br/>
        <w:t xml:space="preserve">- Interim and year-end fieldwork</w:t>
        <w:br/>
        <w:t xml:space="preserve">- Final reporting and post-audit briefing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Engagement setup and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Fieldwork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 audit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Issue audit opinion and management letter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Risk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 review and risk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Fieldwork and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audit report and management letter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licensed CPA firm with experience in audits for mid-market organizations.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Delivered timely audits for over 120 clients with 100% regulatory compliance.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Terms: 40% on engagement, 60% on report delivery. Subject to standard audit independence rules.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2025-05-17T02:07:11Z</dcterms:modified>
</cp:coreProperties>
</file>