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564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564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HIPAA COMPLIANCE IMPLEMENTATION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3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HIPAA COMPLIANCE IMPLEMENTATION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HIPAA compliance implementation. We specialize in gui</w:t>
      </w:r>
      <w:r>
        <w:rPr>
          <w:rFonts w:ascii="Calibri" w:hAnsi="Calibri" w:eastAsia="Calibri" w:cs="Calibri"/>
          <w:color w:val="000000" w:themeColor="text1"/>
        </w:rPr>
        <w:t xml:space="preserve">ding healthcare organizations and vendors through the complex requirements of the Health Insurance Portability and Accountability Act (HIPAA).</w:t>
        <w:br/>
        <w:br/>
        <w:t xml:space="preserve">This proposal outlines our methodology for achieving HIPAA compliance for [Client Name]'s systems and workflows.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Ensure organizational and technical compliance with HIPAA Pr</w:t>
      </w:r>
      <w:r>
        <w:rPr>
          <w:rFonts w:ascii="Calibri" w:hAnsi="Calibri" w:eastAsia="Calibri" w:cs="Calibri"/>
          <w:color w:val="000000" w:themeColor="text1"/>
        </w:rPr>
        <w:t xml:space="preserve">ivacy, Security, and Breach Notification Rules</w:t>
        <w:br/>
        <w:t xml:space="preserve">- Identify and remediate gaps in administrative, physical, and technical safeguards</w:t>
        <w:br/>
        <w:t xml:space="preserve">- Train staff on HIPAA best practices and incident response</w:t>
        <w:br/>
        <w:t xml:space="preserve">- Deliver clear documentation for auditors and legal requirements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HIPAA compliance services include:</w:t>
        <w:br/>
        <w:br/>
        <w:t xml:space="preserve">- Risk assessment and security gap anal</w:t>
      </w:r>
      <w:r>
        <w:rPr>
          <w:rFonts w:ascii="Calibri" w:hAnsi="Calibri" w:eastAsia="Calibri" w:cs="Calibri"/>
          <w:color w:val="000000" w:themeColor="text1"/>
        </w:rPr>
        <w:t xml:space="preserve">ysis</w:t>
        <w:br/>
        <w:t xml:space="preserve">- Policy and procedure development</w:t>
        <w:br/>
        <w:t xml:space="preserve">- HIPAA-compliant infrastructure and access control recommendations</w:t>
        <w:br/>
        <w:t xml:space="preserve">- Incident response planning and breach readiness</w:t>
        <w:br/>
        <w:t xml:space="preserve">- Workforce training and compliance attestation</w:t>
        <w:br/>
        <w:t xml:space="preserve">- Ongoing support and compliance maintenance plans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risk assessment and compliance mappi</w:t>
      </w:r>
      <w:r>
        <w:rPr>
          <w:rFonts w:ascii="Calibri" w:hAnsi="Calibri" w:eastAsia="Calibri" w:cs="Calibri"/>
          <w:color w:val="000000" w:themeColor="text1"/>
        </w:rPr>
        <w:t xml:space="preserve">ng</w:t>
        <w:br/>
        <w:t xml:space="preserve">- Documentation of all security policies and administrative procedures</w:t>
        <w:br/>
        <w:t xml:space="preserve">- Audit and remediation of current systems for HIPAA gaps</w:t>
        <w:br/>
        <w:t xml:space="preserve">- Setup of privacy controls and training programs</w:t>
        <w:br/>
        <w:t xml:space="preserve">- Final compliance certification packet and roadmap for ongoing compliance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Gap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policies, systems, and risks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Remediation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policies, controls, and security measures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safeguards and train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Audit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compliance packet and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HIPAA compliance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security posture and compliance gaps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procedures and access control policies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Educate staff and configure compliance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&amp; Audit Prep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compliance binder and reporting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healthcare compliance consultancy with a proven track record in regulatory strategy, risk management, and technology integration.</w:t>
        <w:br/>
        <w:br/>
        <w:t xml:space="preserve">- Ex</w:t>
      </w:r>
      <w:r>
        <w:rPr>
          <w:rFonts w:ascii="Calibri" w:hAnsi="Calibri" w:eastAsia="Calibri" w:cs="Calibri"/>
          <w:color w:val="000000" w:themeColor="text1"/>
        </w:rPr>
        <w:t xml:space="preserve">perience: [X] years guiding providers, SaaS vendors, and business associates</w:t>
        <w:br/>
        <w:t xml:space="preserve">- Expertise: HIPAA, HITECH, NIST 800-66, healthcare IT security</w:t>
        <w:br/>
        <w:t xml:space="preserve">- Mission: To empower healthcare organizations to meet legal requirements with confidence and protect patient trust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HIPAA readiness for a telehea</w:t>
      </w:r>
      <w:r>
        <w:rPr>
          <w:rFonts w:ascii="Calibri" w:hAnsi="Calibri" w:eastAsia="Calibri" w:cs="Calibri"/>
          <w:color w:val="000000" w:themeColor="text1"/>
        </w:rPr>
        <w:t xml:space="preserve">lth platform prior to market launch</w:t>
        <w:br/>
        <w:t xml:space="preserve">- Outcome: Passed third-party audit and secured enterprise client contracts</w:t>
        <w:br/>
        <w:br/>
        <w:t xml:space="preserve">Testimonial:</w:t>
        <w:br/>
        <w:t xml:space="preserve">“[Your Company Name] made HIPAA manageable and transparent. Their structured approach saved us months of work.”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progress-based billing.</w:t>
        <w:br/>
        <w:t xml:space="preserve">Scope: Includes</w:t>
      </w:r>
      <w:r>
        <w:rPr>
          <w:rFonts w:ascii="Calibri" w:hAnsi="Calibri" w:eastAsia="Calibri" w:cs="Calibri"/>
          <w:color w:val="000000" w:themeColor="text1"/>
        </w:rPr>
        <w:t xml:space="preserve"> risk analysis, policy creation, implementation, and documentation.</w:t>
        <w:br/>
        <w:t xml:space="preserve">Client Responsibilities: Provide access to systems, staff interviews, and current documentation.</w:t>
        <w:br/>
        <w:t xml:space="preserve">Adjustments: Scope or system changes may affect timeline and pricing with mutual agreement.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HIPAA Compliance Implementation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2025-05-14T18:44:14Z</dcterms:modified>
</cp:coreProperties>
</file>