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1468620" w:rsidRDefault="58AB9836" w14:paraId="79D50148" w14:textId="2AD5525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14686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146862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14686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1468620" w:rsidR="4909B757">
        <w:rPr>
          <w:rFonts w:ascii="Calibri" w:hAnsi="Calibri" w:eastAsia="Calibri" w:cs="Calibri"/>
          <w:b w:val="0"/>
          <w:bCs w:val="0"/>
          <w:i w:val="0"/>
          <w:iCs w:val="0"/>
          <w:caps w:val="0"/>
          <w:smallCaps w:val="0"/>
          <w:noProof w:val="0"/>
          <w:color w:val="000000" w:themeColor="text1" w:themeTint="FF" w:themeShade="FF"/>
          <w:sz w:val="22"/>
          <w:szCs w:val="22"/>
          <w:lang w:val="en-GB"/>
        </w:rPr>
        <w:t>Texas</w:t>
      </w:r>
      <w:r w:rsidRPr="214686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146862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14686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1468620" w:rsidR="4909B757">
        <w:rPr>
          <w:rFonts w:ascii="Calibri" w:hAnsi="Calibri" w:eastAsia="Calibri" w:cs="Calibri"/>
          <w:b w:val="0"/>
          <w:bCs w:val="0"/>
          <w:i w:val="0"/>
          <w:iCs w:val="0"/>
          <w:caps w:val="0"/>
          <w:smallCaps w:val="0"/>
          <w:noProof w:val="0"/>
          <w:color w:val="000000" w:themeColor="text1" w:themeTint="FF" w:themeShade="FF"/>
          <w:sz w:val="22"/>
          <w:szCs w:val="22"/>
          <w:lang w:val="en-GB"/>
        </w:rPr>
        <w:t>Texas</w:t>
      </w:r>
      <w:r w:rsidRPr="214686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146862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14686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146862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146862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1468620"/>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09B757"/>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2025-02-03T20:45:07.5262633Z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