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E565055" w:rsidRDefault="58AB9836" w14:paraId="79D50148" w14:textId="435F75F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E565055" w:rsidR="7EEDDA9E">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E565055" w:rsidR="7EEDDA9E">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E56505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E56505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EEDDA9E"/>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2025-02-03T20:46:45.7440911Z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