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2EBD721A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03FEB755" w:rsidR="5EF6151E">
        <w:rPr>
          <w:rFonts w:ascii="Calibri" w:hAnsi="Calibri" w:eastAsia="Calibri" w:cs="Calibri"/>
          <w:b w:val="0"/>
          <w:bCs w:val="0"/>
          <w:sz w:val="22"/>
          <w:szCs w:val="22"/>
        </w:rPr>
        <w:t>Washington</w:t>
      </w: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03FEB755" w:rsidR="5EF6151E">
        <w:rPr>
          <w:rFonts w:ascii="Calibri" w:hAnsi="Calibri" w:eastAsia="Calibri" w:cs="Calibri"/>
          <w:b w:val="0"/>
          <w:bCs w:val="0"/>
          <w:sz w:val="22"/>
          <w:szCs w:val="22"/>
        </w:rPr>
        <w:t>Washington</w:t>
      </w: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03FEB755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3FEB755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EF6151E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2025-02-04T20:18:30.7030717Z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